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29748A" w:rsidRPr="0029748A" w14:paraId="524C5580" w14:textId="77777777" w:rsidTr="002F3A98">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4410C46D" w14:textId="53D141FB" w:rsidR="0029748A" w:rsidRPr="0029748A" w:rsidRDefault="0029748A" w:rsidP="002E3122">
            <w:pPr>
              <w:suppressAutoHyphens/>
              <w:autoSpaceDN w:val="0"/>
              <w:spacing w:before="60" w:after="120" w:line="276" w:lineRule="auto"/>
              <w:jc w:val="both"/>
              <w:textAlignment w:val="baseline"/>
              <w:rPr>
                <w:rFonts w:eastAsia="Calibri" w:cs="Times New Roman"/>
                <w:color w:val="2F5496"/>
                <w:lang w:val="en-GB"/>
              </w:rPr>
            </w:pPr>
            <w:r w:rsidRPr="0029748A">
              <w:rPr>
                <w:rFonts w:eastAsia="Calibri" w:cs="Calibri"/>
                <w:b/>
                <w:color w:val="FFFFFF"/>
                <w:lang w:val="en-GB" w:eastAsia="en-GB"/>
              </w:rPr>
              <w:t xml:space="preserve">1st Open Call – </w:t>
            </w:r>
            <w:r w:rsidR="003D1E4E">
              <w:rPr>
                <w:rFonts w:eastAsia="Calibri" w:cs="Calibri"/>
                <w:b/>
                <w:color w:val="FFFFFF"/>
                <w:lang w:val="en-GB" w:eastAsia="en-GB"/>
              </w:rPr>
              <w:t>Healthcare</w:t>
            </w:r>
          </w:p>
        </w:tc>
      </w:tr>
      <w:tr w:rsidR="0029748A" w:rsidRPr="0029748A" w14:paraId="6F386712" w14:textId="77777777" w:rsidTr="0029315D">
        <w:trPr>
          <w:trHeight w:val="4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E96A" w14:textId="77777777" w:rsidR="0029748A" w:rsidRPr="0029748A" w:rsidRDefault="0029748A" w:rsidP="0029315D">
            <w:pPr>
              <w:suppressAutoHyphens/>
              <w:autoSpaceDN w:val="0"/>
              <w:spacing w:after="0" w:line="252"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Project code &amp; 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F6027" w14:textId="242F47BC" w:rsidR="0029748A" w:rsidRPr="0029748A" w:rsidRDefault="00EB18A7" w:rsidP="008A2E8D">
            <w:pPr>
              <w:suppressAutoHyphens/>
              <w:autoSpaceDN w:val="0"/>
              <w:spacing w:after="120" w:line="276" w:lineRule="auto"/>
              <w:jc w:val="both"/>
              <w:textAlignment w:val="baseline"/>
              <w:rPr>
                <w:rFonts w:eastAsia="Calibri" w:cs="Calibri"/>
                <w:bCs/>
                <w:color w:val="1F3864" w:themeColor="accent5" w:themeShade="80"/>
                <w:szCs w:val="20"/>
                <w:lang w:val="en-GB" w:eastAsia="en-GB"/>
              </w:rPr>
            </w:pPr>
            <w:r w:rsidRPr="00EB18A7">
              <w:rPr>
                <w:rFonts w:eastAsia="Calibri" w:cs="Calibri"/>
                <w:bCs/>
                <w:color w:val="1F3864" w:themeColor="accent5" w:themeShade="80"/>
                <w:szCs w:val="20"/>
                <w:lang w:val="en-GB" w:eastAsia="en-GB"/>
              </w:rPr>
              <w:t>ROHU00512</w:t>
            </w:r>
            <w:r w:rsidR="002E3122">
              <w:rPr>
                <w:rFonts w:eastAsia="Calibri" w:cs="Calibri"/>
                <w:bCs/>
                <w:color w:val="1F3864" w:themeColor="accent5" w:themeShade="80"/>
                <w:szCs w:val="20"/>
                <w:lang w:val="en-GB" w:eastAsia="en-GB"/>
              </w:rPr>
              <w:t xml:space="preserve"> - </w:t>
            </w:r>
            <w:r w:rsidRPr="00EB18A7">
              <w:rPr>
                <w:rFonts w:eastAsia="Calibri" w:cs="Calibri"/>
                <w:bCs/>
                <w:color w:val="1F3864" w:themeColor="accent5" w:themeShade="80"/>
                <w:szCs w:val="20"/>
                <w:lang w:val="en-GB" w:eastAsia="en-GB"/>
              </w:rPr>
              <w:t>GOSLING</w:t>
            </w:r>
          </w:p>
        </w:tc>
      </w:tr>
      <w:tr w:rsidR="0029748A" w:rsidRPr="0029748A" w14:paraId="42330153" w14:textId="77777777" w:rsidTr="003A4193">
        <w:trPr>
          <w:trHeight w:val="2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1280" w14:textId="77777777" w:rsidR="0029748A" w:rsidRPr="0029748A" w:rsidRDefault="0029748A" w:rsidP="008A2E8D">
            <w:pPr>
              <w:suppressAutoHyphens/>
              <w:autoSpaceDN w:val="0"/>
              <w:spacing w:after="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Project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A72C" w14:textId="1F86DAE9" w:rsidR="0029748A" w:rsidRPr="0029748A" w:rsidRDefault="00EB18A7" w:rsidP="008A2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EB18A7">
              <w:rPr>
                <w:rFonts w:eastAsia="Calibri" w:cs="Times New Roman"/>
                <w:color w:val="1F3864" w:themeColor="accent5" w:themeShade="80"/>
                <w:szCs w:val="20"/>
                <w:lang w:val="en-GB"/>
              </w:rPr>
              <w:t>GrOw up biking to the Stars - cross-border cycLing development IN the border reGion</w:t>
            </w:r>
          </w:p>
        </w:tc>
      </w:tr>
      <w:tr w:rsidR="0029748A" w:rsidRPr="0029748A" w14:paraId="7B33A94D" w14:textId="77777777" w:rsidTr="002F3A9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ABCA" w14:textId="77777777" w:rsidR="0029748A" w:rsidRPr="0029748A" w:rsidRDefault="0029748A" w:rsidP="0029315D">
            <w:pPr>
              <w:suppressAutoHyphens/>
              <w:autoSpaceDN w:val="0"/>
              <w:spacing w:after="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Priority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927AC" w14:textId="16BB61B6" w:rsidR="0029748A" w:rsidRPr="0029748A" w:rsidRDefault="002E3122" w:rsidP="00C75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2E3122">
              <w:rPr>
                <w:rFonts w:eastAsia="Calibri" w:cs="Times New Roman"/>
                <w:color w:val="1F3864" w:themeColor="accent5" w:themeShade="80"/>
                <w:szCs w:val="20"/>
                <w:lang w:val="en-GB"/>
              </w:rPr>
              <w:t>P2 - Cooperation for a more social and cohesive PA between Romania and Hungary</w:t>
            </w:r>
          </w:p>
        </w:tc>
      </w:tr>
      <w:tr w:rsidR="0029748A" w:rsidRPr="0029748A" w14:paraId="551BD02A" w14:textId="77777777" w:rsidTr="007843DE">
        <w:trPr>
          <w:trHeight w:val="4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FB8B" w14:textId="77777777" w:rsidR="0029748A" w:rsidRPr="0029748A" w:rsidRDefault="0029748A" w:rsidP="00934B4B">
            <w:pPr>
              <w:suppressAutoHyphens/>
              <w:autoSpaceDN w:val="0"/>
              <w:spacing w:after="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Specific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8ADAF" w14:textId="5EF3127E" w:rsidR="0029748A" w:rsidRPr="0029748A" w:rsidRDefault="00EB18A7" w:rsidP="008A2E8D">
            <w:pPr>
              <w:suppressAutoHyphens/>
              <w:autoSpaceDN w:val="0"/>
              <w:spacing w:after="0" w:line="276" w:lineRule="auto"/>
              <w:jc w:val="both"/>
              <w:textAlignment w:val="baseline"/>
              <w:rPr>
                <w:rFonts w:eastAsia="Calibri" w:cs="Times New Roman"/>
                <w:color w:val="1F3864" w:themeColor="accent5" w:themeShade="80"/>
                <w:szCs w:val="20"/>
                <w:lang w:val="en-GB"/>
              </w:rPr>
            </w:pPr>
            <w:r w:rsidRPr="00EB18A7">
              <w:rPr>
                <w:rFonts w:eastAsia="Calibri" w:cs="Times New Roman"/>
                <w:color w:val="1F3864" w:themeColor="accent5" w:themeShade="80"/>
                <w:szCs w:val="20"/>
                <w:lang w:val="en-GB"/>
              </w:rPr>
              <w:t>RS04.6 - Enhancing the role of culture and sustainable tourism in economic development, social inclusion and social innovation</w:t>
            </w:r>
          </w:p>
        </w:tc>
      </w:tr>
      <w:tr w:rsidR="0029748A" w:rsidRPr="0029748A" w14:paraId="48678D3A" w14:textId="77777777" w:rsidTr="00932B71">
        <w:trPr>
          <w:trHeight w:val="5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DC0F0" w14:textId="77777777" w:rsidR="0029748A" w:rsidRPr="0029748A" w:rsidRDefault="0029748A" w:rsidP="00932B71">
            <w:pPr>
              <w:suppressAutoHyphens/>
              <w:autoSpaceDN w:val="0"/>
              <w:spacing w:after="0" w:line="250"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7D52" w14:textId="0FD1A022" w:rsidR="0029748A" w:rsidRPr="0029748A" w:rsidRDefault="00FC4C37" w:rsidP="002E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30</w:t>
            </w:r>
            <w:r w:rsidR="0029748A" w:rsidRPr="0029748A">
              <w:rPr>
                <w:rFonts w:eastAsia="Calibri" w:cs="Times New Roman"/>
                <w:color w:val="1F3864" w:themeColor="accent5" w:themeShade="80"/>
                <w:szCs w:val="20"/>
                <w:lang w:val="en-GB"/>
              </w:rPr>
              <w:t xml:space="preserve"> months (</w:t>
            </w:r>
            <w:r w:rsidR="00EB18A7" w:rsidRPr="00EB18A7">
              <w:rPr>
                <w:rFonts w:eastAsia="Calibri" w:cs="Times New Roman"/>
                <w:color w:val="1F3864" w:themeColor="accent5" w:themeShade="80"/>
                <w:szCs w:val="20"/>
                <w:lang w:val="en-GB"/>
              </w:rPr>
              <w:t>23</w:t>
            </w:r>
            <w:r w:rsidR="00EB18A7">
              <w:rPr>
                <w:rFonts w:eastAsia="Calibri" w:cs="Times New Roman"/>
                <w:color w:val="1F3864" w:themeColor="accent5" w:themeShade="80"/>
                <w:szCs w:val="20"/>
                <w:lang w:val="en-GB"/>
              </w:rPr>
              <w:t xml:space="preserve"> October </w:t>
            </w:r>
            <w:r w:rsidR="00EB18A7" w:rsidRPr="00EB18A7">
              <w:rPr>
                <w:rFonts w:eastAsia="Calibri" w:cs="Times New Roman"/>
                <w:color w:val="1F3864" w:themeColor="accent5" w:themeShade="80"/>
                <w:szCs w:val="20"/>
                <w:lang w:val="en-GB"/>
              </w:rPr>
              <w:t>2025</w:t>
            </w:r>
            <w:r w:rsidR="00EB18A7">
              <w:rPr>
                <w:rFonts w:eastAsia="Calibri" w:cs="Times New Roman"/>
                <w:color w:val="1F3864" w:themeColor="accent5" w:themeShade="80"/>
                <w:szCs w:val="20"/>
                <w:lang w:val="en-GB"/>
              </w:rPr>
              <w:t xml:space="preserve"> – </w:t>
            </w:r>
            <w:r w:rsidR="00EB18A7" w:rsidRPr="00EB18A7">
              <w:rPr>
                <w:rFonts w:eastAsia="Calibri" w:cs="Times New Roman"/>
                <w:color w:val="1F3864" w:themeColor="accent5" w:themeShade="80"/>
                <w:szCs w:val="20"/>
                <w:lang w:val="en-GB"/>
              </w:rPr>
              <w:t>22</w:t>
            </w:r>
            <w:r w:rsidR="00EB18A7">
              <w:rPr>
                <w:rFonts w:eastAsia="Calibri" w:cs="Times New Roman"/>
                <w:color w:val="1F3864" w:themeColor="accent5" w:themeShade="80"/>
                <w:szCs w:val="20"/>
                <w:lang w:val="en-GB"/>
              </w:rPr>
              <w:t xml:space="preserve"> April </w:t>
            </w:r>
            <w:r w:rsidR="00EB18A7" w:rsidRPr="00EB18A7">
              <w:rPr>
                <w:rFonts w:eastAsia="Calibri" w:cs="Times New Roman"/>
                <w:color w:val="1F3864" w:themeColor="accent5" w:themeShade="80"/>
                <w:szCs w:val="20"/>
                <w:lang w:val="en-GB"/>
              </w:rPr>
              <w:t>2028</w:t>
            </w:r>
            <w:r w:rsidR="0029748A" w:rsidRPr="0029748A">
              <w:rPr>
                <w:rFonts w:eastAsia="Calibri" w:cs="Times New Roman"/>
                <w:color w:val="1F3864" w:themeColor="accent5" w:themeShade="80"/>
                <w:szCs w:val="20"/>
                <w:lang w:val="en-GB"/>
              </w:rPr>
              <w:t>)</w:t>
            </w:r>
          </w:p>
        </w:tc>
      </w:tr>
      <w:tr w:rsidR="0029748A" w:rsidRPr="0029748A" w14:paraId="3526445E" w14:textId="77777777" w:rsidTr="003948C0">
        <w:trPr>
          <w:trHeight w:val="661"/>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1CD20" w14:textId="77777777" w:rsidR="0029748A" w:rsidRPr="0029748A" w:rsidRDefault="0029748A" w:rsidP="0029748A">
            <w:pPr>
              <w:suppressAutoHyphens/>
              <w:autoSpaceDN w:val="0"/>
              <w:spacing w:after="12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72369" w14:textId="4BAF6C35" w:rsidR="0029748A" w:rsidRPr="0029748A" w:rsidRDefault="00730F94" w:rsidP="007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730F94">
              <w:rPr>
                <w:rFonts w:eastAsia="Calibri" w:cs="Times New Roman"/>
                <w:color w:val="1F3864" w:themeColor="accent5" w:themeShade="80"/>
                <w:szCs w:val="20"/>
                <w:lang w:val="en-GB"/>
              </w:rPr>
              <w:t>The goal of the GOSLING project is to raise cross-border cycling in the Romanian</w:t>
            </w:r>
            <w:r>
              <w:rPr>
                <w:rFonts w:eastAsia="Calibri" w:cs="Times New Roman"/>
                <w:color w:val="1F3864" w:themeColor="accent5" w:themeShade="80"/>
                <w:szCs w:val="20"/>
                <w:lang w:val="en-GB"/>
              </w:rPr>
              <w:t xml:space="preserve"> </w:t>
            </w:r>
            <w:r w:rsidRPr="00730F94">
              <w:rPr>
                <w:rFonts w:eastAsia="Calibri" w:cs="Times New Roman"/>
                <w:color w:val="1F3864" w:themeColor="accent5" w:themeShade="80"/>
                <w:szCs w:val="20"/>
                <w:lang w:val="en-GB"/>
              </w:rPr>
              <w:t>-Hungarian border region to a similar level to that of other Western European border regions, for which various infrastructural investments and the creation of cross-border cycling packages will be implemented. In order to popularize cross-border cycling thematic routes among tourists, the project partnership deploys innovative communication and promotion tools.</w:t>
            </w:r>
          </w:p>
        </w:tc>
      </w:tr>
      <w:tr w:rsidR="0029748A" w:rsidRPr="0029748A" w14:paraId="147D9535" w14:textId="77777777" w:rsidTr="002F3A98">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9A018" w14:textId="77777777" w:rsidR="0029748A" w:rsidRPr="0029748A" w:rsidRDefault="0029748A" w:rsidP="0029748A">
            <w:pPr>
              <w:suppressAutoHyphens/>
              <w:autoSpaceDN w:val="0"/>
              <w:spacing w:after="12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F794F" w14:textId="4BB5A91F" w:rsidR="0029748A" w:rsidRPr="0029748A" w:rsidRDefault="0029748A" w:rsidP="008B2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29748A">
              <w:rPr>
                <w:rFonts w:eastAsia="Times New Roman" w:cs="Times New Roman"/>
                <w:b/>
                <w:color w:val="1F3864" w:themeColor="accent5" w:themeShade="80"/>
                <w:szCs w:val="20"/>
                <w:lang w:val="en-GB" w:bidi="en-US"/>
              </w:rPr>
              <w:t>Lead Partner</w:t>
            </w:r>
            <w:r w:rsidRPr="0029748A">
              <w:rPr>
                <w:rFonts w:eastAsia="Calibri" w:cs="Calibri"/>
                <w:b/>
                <w:color w:val="1F3864" w:themeColor="accent5" w:themeShade="80"/>
                <w:szCs w:val="20"/>
                <w:lang w:val="en-GB" w:eastAsia="en-GB"/>
              </w:rPr>
              <w:t xml:space="preserve">: </w:t>
            </w:r>
            <w:r w:rsidR="001617DD" w:rsidRPr="001617DD">
              <w:rPr>
                <w:rFonts w:eastAsia="Calibri" w:cs="Calibri"/>
                <w:bCs/>
                <w:color w:val="1F3864" w:themeColor="accent5" w:themeShade="80"/>
                <w:szCs w:val="20"/>
                <w:lang w:val="en-GB" w:eastAsia="en-GB"/>
              </w:rPr>
              <w:t xml:space="preserve">JUDETUL TIMIS </w:t>
            </w:r>
            <w:r w:rsidR="000E7AAB" w:rsidRPr="0029748A">
              <w:rPr>
                <w:rFonts w:eastAsia="Calibri" w:cs="Calibri"/>
                <w:bCs/>
                <w:color w:val="1F3864" w:themeColor="accent5" w:themeShade="80"/>
                <w:szCs w:val="20"/>
                <w:lang w:val="en-GB" w:eastAsia="en-GB"/>
              </w:rPr>
              <w:t>(R</w:t>
            </w:r>
            <w:r w:rsidR="008B2AE7">
              <w:rPr>
                <w:rFonts w:eastAsia="Calibri" w:cs="Calibri"/>
                <w:bCs/>
                <w:color w:val="1F3864" w:themeColor="accent5" w:themeShade="80"/>
                <w:szCs w:val="20"/>
                <w:lang w:val="en-GB" w:eastAsia="en-GB"/>
              </w:rPr>
              <w:t>O</w:t>
            </w:r>
            <w:r w:rsidR="000E7AAB" w:rsidRPr="0029748A">
              <w:rPr>
                <w:rFonts w:eastAsia="Calibri" w:cs="Calibri"/>
                <w:bCs/>
                <w:color w:val="1F3864" w:themeColor="accent5" w:themeShade="80"/>
                <w:szCs w:val="20"/>
                <w:lang w:val="en-GB" w:eastAsia="en-GB"/>
              </w:rPr>
              <w:t>)</w:t>
            </w:r>
          </w:p>
        </w:tc>
      </w:tr>
      <w:tr w:rsidR="0029748A" w:rsidRPr="0029748A" w14:paraId="7FB6FB17" w14:textId="77777777" w:rsidTr="00411C02">
        <w:trPr>
          <w:trHeight w:val="415"/>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1CD00" w14:textId="77777777" w:rsidR="0029748A" w:rsidRPr="0029748A" w:rsidRDefault="0029748A" w:rsidP="0029748A">
            <w:pPr>
              <w:suppressAutoHyphens/>
              <w:autoSpaceDN w:val="0"/>
              <w:spacing w:after="0" w:line="251" w:lineRule="auto"/>
              <w:textAlignment w:val="baseline"/>
              <w:rPr>
                <w:rFonts w:eastAsia="Calibri"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A333D" w14:textId="77777777" w:rsidR="001617DD" w:rsidRDefault="0029748A" w:rsidP="000E7AAB">
            <w:pPr>
              <w:suppressAutoHyphens/>
              <w:autoSpaceDN w:val="0"/>
              <w:spacing w:after="0" w:line="276" w:lineRule="auto"/>
              <w:jc w:val="both"/>
              <w:textAlignment w:val="baseline"/>
              <w:rPr>
                <w:rFonts w:eastAsia="Calibri" w:cs="Times New Roman"/>
                <w:b/>
                <w:color w:val="1F3864" w:themeColor="accent5" w:themeShade="80"/>
                <w:szCs w:val="20"/>
                <w:lang w:val="en-GB"/>
              </w:rPr>
            </w:pPr>
            <w:r w:rsidRPr="0029748A">
              <w:rPr>
                <w:rFonts w:eastAsia="Times New Roman" w:cs="Times New Roman"/>
                <w:b/>
                <w:color w:val="1F3864" w:themeColor="accent5" w:themeShade="80"/>
                <w:szCs w:val="20"/>
                <w:lang w:val="en-GB" w:bidi="en-US"/>
              </w:rPr>
              <w:t>Project Partner</w:t>
            </w:r>
            <w:r w:rsidR="001617DD">
              <w:rPr>
                <w:rFonts w:eastAsia="Times New Roman" w:cs="Times New Roman"/>
                <w:b/>
                <w:color w:val="1F3864" w:themeColor="accent5" w:themeShade="80"/>
                <w:szCs w:val="20"/>
                <w:lang w:val="en-GB" w:bidi="en-US"/>
              </w:rPr>
              <w:t>s</w:t>
            </w:r>
            <w:r w:rsidRPr="0029748A">
              <w:rPr>
                <w:rFonts w:eastAsia="Calibri" w:cs="Times New Roman"/>
                <w:b/>
                <w:color w:val="1F3864" w:themeColor="accent5" w:themeShade="80"/>
                <w:szCs w:val="20"/>
                <w:lang w:val="en-GB"/>
              </w:rPr>
              <w:t xml:space="preserve">: </w:t>
            </w:r>
          </w:p>
          <w:p w14:paraId="383EC5E5" w14:textId="670096AE" w:rsidR="0029748A" w:rsidRDefault="0029748A" w:rsidP="000E7AAB">
            <w:pPr>
              <w:suppressAutoHyphens/>
              <w:autoSpaceDN w:val="0"/>
              <w:spacing w:after="0" w:line="276" w:lineRule="auto"/>
              <w:jc w:val="both"/>
              <w:textAlignment w:val="baseline"/>
              <w:rPr>
                <w:rFonts w:eastAsia="Calibri" w:cs="Times New Roman"/>
                <w:bCs/>
                <w:color w:val="1F3864" w:themeColor="accent5" w:themeShade="80"/>
                <w:szCs w:val="20"/>
                <w:lang w:val="en-GB"/>
              </w:rPr>
            </w:pPr>
            <w:r w:rsidRPr="001617DD">
              <w:rPr>
                <w:rFonts w:eastAsia="Calibri" w:cs="Times New Roman"/>
                <w:b/>
                <w:color w:val="1F3864" w:themeColor="accent5" w:themeShade="80"/>
                <w:szCs w:val="20"/>
                <w:lang w:val="en-GB"/>
              </w:rPr>
              <w:t xml:space="preserve">PP2 </w:t>
            </w:r>
            <w:r w:rsidR="001617DD" w:rsidRPr="001617DD">
              <w:rPr>
                <w:rFonts w:eastAsia="Calibri" w:cs="Times New Roman"/>
                <w:bCs/>
                <w:color w:val="1F3864" w:themeColor="accent5" w:themeShade="80"/>
                <w:szCs w:val="20"/>
                <w:lang w:val="en-GB"/>
              </w:rPr>
              <w:t xml:space="preserve">DKMT Duna-Körös-Maros-Tisza Eurorégiós  Fejlesztési Ügynökség Nonprofit Közhasznú Kft </w:t>
            </w:r>
            <w:r w:rsidR="000E7AAB" w:rsidRPr="0029748A">
              <w:rPr>
                <w:rFonts w:eastAsia="Calibri" w:cs="Times New Roman"/>
                <w:bCs/>
                <w:color w:val="1F3864" w:themeColor="accent5" w:themeShade="80"/>
                <w:szCs w:val="20"/>
                <w:lang w:val="en-GB"/>
              </w:rPr>
              <w:t>(H</w:t>
            </w:r>
            <w:r w:rsidR="008B2AE7">
              <w:rPr>
                <w:rFonts w:eastAsia="Calibri" w:cs="Times New Roman"/>
                <w:bCs/>
                <w:color w:val="1F3864" w:themeColor="accent5" w:themeShade="80"/>
                <w:szCs w:val="20"/>
                <w:lang w:val="en-GB"/>
              </w:rPr>
              <w:t>U</w:t>
            </w:r>
            <w:r w:rsidR="000E7AAB" w:rsidRPr="0029748A">
              <w:rPr>
                <w:rFonts w:eastAsia="Calibri" w:cs="Times New Roman"/>
                <w:bCs/>
                <w:color w:val="1F3864" w:themeColor="accent5" w:themeShade="80"/>
                <w:szCs w:val="20"/>
                <w:lang w:val="en-GB"/>
              </w:rPr>
              <w:t>)</w:t>
            </w:r>
          </w:p>
          <w:p w14:paraId="302B940D" w14:textId="77777777" w:rsidR="008B2AE7" w:rsidRDefault="008B2AE7" w:rsidP="000E7AAB">
            <w:pPr>
              <w:suppressAutoHyphens/>
              <w:autoSpaceDN w:val="0"/>
              <w:spacing w:after="0" w:line="276" w:lineRule="auto"/>
              <w:jc w:val="both"/>
              <w:textAlignment w:val="baseline"/>
              <w:rPr>
                <w:rFonts w:eastAsia="Calibri" w:cs="Times New Roman"/>
                <w:color w:val="1F3864" w:themeColor="accent5" w:themeShade="80"/>
                <w:szCs w:val="20"/>
                <w:lang w:val="en-GB"/>
              </w:rPr>
            </w:pPr>
            <w:r w:rsidRPr="001617DD">
              <w:rPr>
                <w:rFonts w:eastAsia="Calibri" w:cs="Times New Roman"/>
                <w:b/>
                <w:bCs/>
                <w:color w:val="1F3864" w:themeColor="accent5" w:themeShade="80"/>
                <w:szCs w:val="20"/>
                <w:lang w:val="en-GB"/>
              </w:rPr>
              <w:t>PP3</w:t>
            </w:r>
            <w:r>
              <w:rPr>
                <w:rFonts w:eastAsia="Calibri" w:cs="Times New Roman"/>
                <w:color w:val="1F3864" w:themeColor="accent5" w:themeShade="80"/>
                <w:szCs w:val="20"/>
                <w:lang w:val="en-GB"/>
              </w:rPr>
              <w:t xml:space="preserve"> </w:t>
            </w:r>
            <w:r w:rsidR="001617DD" w:rsidRPr="001617DD">
              <w:rPr>
                <w:rFonts w:eastAsia="Calibri" w:cs="Times New Roman"/>
                <w:color w:val="1F3864" w:themeColor="accent5" w:themeShade="80"/>
                <w:szCs w:val="20"/>
                <w:lang w:val="en-GB"/>
              </w:rPr>
              <w:t>Comuna Fârdea</w:t>
            </w:r>
            <w:r>
              <w:rPr>
                <w:rFonts w:eastAsia="Calibri" w:cs="Times New Roman"/>
                <w:color w:val="1F3864" w:themeColor="accent5" w:themeShade="80"/>
                <w:szCs w:val="20"/>
                <w:lang w:val="en-GB"/>
              </w:rPr>
              <w:t xml:space="preserve"> (RO)</w:t>
            </w:r>
          </w:p>
          <w:p w14:paraId="7BB23C0F" w14:textId="0B816E60" w:rsidR="001617DD" w:rsidRPr="001617DD" w:rsidRDefault="001617DD" w:rsidP="000E7AAB">
            <w:pPr>
              <w:suppressAutoHyphens/>
              <w:autoSpaceDN w:val="0"/>
              <w:spacing w:after="0" w:line="276" w:lineRule="auto"/>
              <w:jc w:val="both"/>
              <w:textAlignment w:val="baseline"/>
              <w:rPr>
                <w:rFonts w:eastAsia="Calibri" w:cs="Times New Roman"/>
                <w:b/>
                <w:bCs/>
                <w:color w:val="1F3864" w:themeColor="accent5" w:themeShade="80"/>
                <w:szCs w:val="20"/>
                <w:lang w:val="en-GB"/>
              </w:rPr>
            </w:pPr>
            <w:r w:rsidRPr="001617DD">
              <w:rPr>
                <w:rFonts w:eastAsia="Calibri" w:cs="Times New Roman"/>
                <w:b/>
                <w:bCs/>
                <w:color w:val="1F3864" w:themeColor="accent5" w:themeShade="80"/>
                <w:szCs w:val="20"/>
                <w:lang w:val="en-GB"/>
              </w:rPr>
              <w:t>PP4</w:t>
            </w:r>
            <w:r>
              <w:rPr>
                <w:rFonts w:eastAsia="Calibri" w:cs="Times New Roman"/>
                <w:b/>
                <w:bCs/>
                <w:color w:val="1F3864" w:themeColor="accent5" w:themeShade="80"/>
                <w:szCs w:val="20"/>
                <w:lang w:val="en-GB"/>
              </w:rPr>
              <w:t xml:space="preserve"> </w:t>
            </w:r>
            <w:r w:rsidRPr="001617DD">
              <w:rPr>
                <w:rFonts w:eastAsia="Calibri" w:cs="Times New Roman"/>
                <w:color w:val="1F3864" w:themeColor="accent5" w:themeShade="80"/>
                <w:szCs w:val="20"/>
                <w:lang w:val="en-GB"/>
              </w:rPr>
              <w:t>Asociatia Club Sportiv Velocitas</w:t>
            </w:r>
            <w:r>
              <w:rPr>
                <w:rFonts w:eastAsia="Calibri" w:cs="Times New Roman"/>
                <w:b/>
                <w:bCs/>
                <w:color w:val="1F3864" w:themeColor="accent5" w:themeShade="80"/>
                <w:szCs w:val="20"/>
                <w:lang w:val="en-GB"/>
              </w:rPr>
              <w:t xml:space="preserve"> </w:t>
            </w:r>
            <w:r w:rsidRPr="005630A8">
              <w:rPr>
                <w:rFonts w:eastAsia="Calibri" w:cs="Times New Roman"/>
                <w:color w:val="1F3864" w:themeColor="accent5" w:themeShade="80"/>
                <w:szCs w:val="20"/>
                <w:lang w:val="en-GB"/>
              </w:rPr>
              <w:t>(RO)</w:t>
            </w:r>
          </w:p>
        </w:tc>
      </w:tr>
      <w:tr w:rsidR="0029748A" w:rsidRPr="0029748A" w14:paraId="36DA20CA" w14:textId="77777777" w:rsidTr="0029315D">
        <w:trPr>
          <w:trHeight w:val="611"/>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B9413" w14:textId="77777777" w:rsidR="0029748A" w:rsidRPr="0029748A" w:rsidRDefault="0029748A" w:rsidP="0029315D">
            <w:pPr>
              <w:suppressAutoHyphens/>
              <w:autoSpaceDN w:val="0"/>
              <w:spacing w:after="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53FB" w14:textId="410C7293" w:rsidR="0029748A" w:rsidRPr="0029748A" w:rsidRDefault="0029748A" w:rsidP="0029315D">
            <w:pPr>
              <w:suppressAutoHyphens/>
              <w:autoSpaceDN w:val="0"/>
              <w:spacing w:after="0" w:line="276" w:lineRule="auto"/>
              <w:jc w:val="both"/>
              <w:textAlignment w:val="baseline"/>
              <w:rPr>
                <w:rFonts w:eastAsia="Times New Roman" w:cs="Times New Roman"/>
                <w:color w:val="1F3864" w:themeColor="accent5" w:themeShade="80"/>
                <w:szCs w:val="20"/>
                <w:lang w:val="en-GB" w:bidi="en-US"/>
              </w:rPr>
            </w:pPr>
            <w:r w:rsidRPr="0029748A">
              <w:rPr>
                <w:rFonts w:eastAsia="Calibri" w:cs="Calibri"/>
                <w:color w:val="1F3864" w:themeColor="accent5" w:themeShade="80"/>
                <w:szCs w:val="20"/>
                <w:lang w:val="en-GB" w:eastAsia="en-GB"/>
              </w:rPr>
              <w:t xml:space="preserve">EUR </w:t>
            </w:r>
            <w:r w:rsidR="001617DD" w:rsidRPr="001617DD">
              <w:rPr>
                <w:rFonts w:eastAsia="Calibri" w:cs="Calibri"/>
                <w:color w:val="1F3864" w:themeColor="accent5" w:themeShade="80"/>
                <w:szCs w:val="20"/>
                <w:lang w:val="en-GB" w:eastAsia="en-GB"/>
              </w:rPr>
              <w:t>1.621.678,00</w:t>
            </w:r>
            <w:r w:rsidR="001617DD">
              <w:rPr>
                <w:rFonts w:eastAsia="Calibri" w:cs="Calibri"/>
                <w:color w:val="1F3864" w:themeColor="accent5" w:themeShade="80"/>
                <w:szCs w:val="20"/>
                <w:lang w:val="en-GB" w:eastAsia="en-GB"/>
              </w:rPr>
              <w:t xml:space="preserve"> </w:t>
            </w:r>
            <w:r w:rsidRPr="0029748A">
              <w:rPr>
                <w:rFonts w:eastAsia="Calibri" w:cs="Calibri"/>
                <w:color w:val="1F3864" w:themeColor="accent5" w:themeShade="80"/>
                <w:szCs w:val="20"/>
                <w:lang w:val="en-GB" w:eastAsia="en-GB"/>
              </w:rPr>
              <w:t xml:space="preserve">out of which </w:t>
            </w:r>
          </w:p>
          <w:p w14:paraId="482E64B4" w14:textId="26DC67C7" w:rsidR="0029748A" w:rsidRPr="0029748A" w:rsidRDefault="0029748A" w:rsidP="008B2AE7">
            <w:pPr>
              <w:suppressAutoHyphens/>
              <w:autoSpaceDN w:val="0"/>
              <w:spacing w:after="0" w:line="276" w:lineRule="auto"/>
              <w:jc w:val="both"/>
              <w:textAlignment w:val="baseline"/>
              <w:rPr>
                <w:rFonts w:eastAsia="Calibri" w:cs="Calibri"/>
                <w:color w:val="1F3864" w:themeColor="accent5" w:themeShade="80"/>
                <w:szCs w:val="20"/>
                <w:lang w:val="en-GB" w:eastAsia="en-GB"/>
              </w:rPr>
            </w:pPr>
            <w:r w:rsidRPr="0029748A">
              <w:rPr>
                <w:rFonts w:eastAsia="Times New Roman" w:cs="Times New Roman"/>
                <w:color w:val="1F3864" w:themeColor="accent5" w:themeShade="80"/>
                <w:szCs w:val="20"/>
                <w:lang w:val="en-GB" w:bidi="en-US"/>
              </w:rPr>
              <w:t xml:space="preserve">ERDF </w:t>
            </w:r>
            <w:r w:rsidRPr="0029748A">
              <w:rPr>
                <w:rFonts w:eastAsia="Calibri" w:cs="Calibri"/>
                <w:color w:val="1F3864" w:themeColor="accent5" w:themeShade="80"/>
                <w:szCs w:val="20"/>
                <w:lang w:val="en-GB" w:eastAsia="en-GB"/>
              </w:rPr>
              <w:t xml:space="preserve">EUR </w:t>
            </w:r>
            <w:r w:rsidR="008B2AE7">
              <w:rPr>
                <w:rFonts w:eastAsia="Calibri" w:cs="Calibri"/>
                <w:color w:val="1F3864" w:themeColor="accent5" w:themeShade="80"/>
                <w:szCs w:val="20"/>
                <w:lang w:val="en-GB" w:eastAsia="en-GB"/>
              </w:rPr>
              <w:t xml:space="preserve"> </w:t>
            </w:r>
            <w:r w:rsidR="001617DD" w:rsidRPr="001617DD">
              <w:rPr>
                <w:rFonts w:eastAsia="Calibri" w:cs="Calibri"/>
                <w:color w:val="1F3864" w:themeColor="accent5" w:themeShade="80"/>
                <w:szCs w:val="20"/>
                <w:lang w:val="en-GB" w:eastAsia="en-GB"/>
              </w:rPr>
              <w:t>1.297.342,40</w:t>
            </w:r>
            <w:r w:rsidR="003948C0" w:rsidRPr="003948C0">
              <w:rPr>
                <w:rFonts w:eastAsia="Calibri" w:cs="Calibri"/>
                <w:color w:val="1F3864" w:themeColor="accent5" w:themeShade="80"/>
                <w:szCs w:val="20"/>
                <w:lang w:val="en-GB" w:eastAsia="en-GB"/>
              </w:rPr>
              <w:tab/>
            </w:r>
            <w:r w:rsidRPr="0029748A">
              <w:rPr>
                <w:rFonts w:eastAsia="Times New Roman" w:cs="Courier New"/>
                <w:b/>
                <w:color w:val="1F3864" w:themeColor="accent5" w:themeShade="80"/>
                <w:szCs w:val="20"/>
                <w:lang w:val="en-GB" w:eastAsia="en-GB"/>
              </w:rPr>
              <w:tab/>
            </w:r>
          </w:p>
        </w:tc>
      </w:tr>
      <w:tr w:rsidR="0029748A" w:rsidRPr="0029748A" w14:paraId="6B94B7BC" w14:textId="77777777" w:rsidTr="002F3A9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8B63A" w14:textId="77777777" w:rsidR="0029748A" w:rsidRPr="0029748A" w:rsidRDefault="0029748A" w:rsidP="003167D3">
            <w:pPr>
              <w:suppressAutoHyphens/>
              <w:autoSpaceDN w:val="0"/>
              <w:spacing w:line="249" w:lineRule="auto"/>
              <w:jc w:val="both"/>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Summary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C968D" w14:textId="062C13C1" w:rsidR="003167D3" w:rsidRPr="003167D3" w:rsidRDefault="003167D3" w:rsidP="003167D3">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The partnership will jointly work on the promotion of CB cycling routes and sharing each other's experiences which would serve the communities in the CB region to expand to aim not only at domestic tourism but international tourism also. This would significantly help the competitive ability of the region. Furthermore, drawing</w:t>
            </w:r>
            <w:r>
              <w:rPr>
                <w:rFonts w:eastAsia="Calibri" w:cs="Times New Roman"/>
                <w:color w:val="1F3864" w:themeColor="accent5" w:themeShade="80"/>
                <w:szCs w:val="20"/>
                <w:lang w:val="en-GB"/>
              </w:rPr>
              <w:t xml:space="preserve"> </w:t>
            </w:r>
            <w:r w:rsidRPr="003167D3">
              <w:rPr>
                <w:rFonts w:eastAsia="Calibri" w:cs="Times New Roman"/>
                <w:color w:val="1F3864" w:themeColor="accent5" w:themeShade="80"/>
                <w:szCs w:val="20"/>
                <w:lang w:val="en-GB"/>
              </w:rPr>
              <w:t xml:space="preserve">in the general public is a key challenge, which is common in the region. </w:t>
            </w:r>
          </w:p>
          <w:p w14:paraId="6D24C948" w14:textId="77777777" w:rsidR="003167D3" w:rsidRPr="003167D3" w:rsidRDefault="003167D3" w:rsidP="003167D3">
            <w:pPr>
              <w:tabs>
                <w:tab w:val="left" w:pos="1701"/>
              </w:tabs>
              <w:suppressAutoHyphens/>
              <w:autoSpaceDN w:val="0"/>
              <w:spacing w:after="0" w:line="240" w:lineRule="auto"/>
              <w:contextualSpacing/>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The isolation of the Hungarian-Romanian border region will decrease as a result of the defined CB cycling trails.</w:t>
            </w:r>
          </w:p>
          <w:p w14:paraId="69185D7C" w14:textId="0DCB8BDB" w:rsidR="003167D3" w:rsidRPr="003167D3" w:rsidRDefault="003167D3" w:rsidP="003167D3">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For tourists outside the region, the ROHU border area will be presented as a single destination, and it will also be displayed as a single destination in the framework of the marketing activites and on the promotional tour organized with stars and children for journalists.</w:t>
            </w:r>
          </w:p>
          <w:p w14:paraId="66C75C13" w14:textId="77777777" w:rsidR="003167D3" w:rsidRPr="003167D3" w:rsidRDefault="003167D3" w:rsidP="003167D3">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There are several novelties in the project:</w:t>
            </w:r>
          </w:p>
          <w:p w14:paraId="092432AD" w14:textId="77777777" w:rsidR="003167D3" w:rsidRPr="003167D3" w:rsidRDefault="003167D3" w:rsidP="003167D3">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there are no CB cycling thematic routes in the ROHU border area, these 5 will be the first ones</w:t>
            </w:r>
          </w:p>
          <w:p w14:paraId="4CB8CE4B" w14:textId="77777777" w:rsidR="003167D3" w:rsidRPr="003167D3" w:rsidRDefault="003167D3" w:rsidP="003167D3">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one of the basis of the route will be the collected best practices from other European CB cycling routes</w:t>
            </w:r>
          </w:p>
          <w:p w14:paraId="09B7CF34" w14:textId="68CEFCF8" w:rsidR="001617DD" w:rsidRPr="0029748A" w:rsidRDefault="003167D3" w:rsidP="003167D3">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the project will use numerous innovative communication and marketing tools in order to popularize the 5 cross-border thematic cycling routes, the sights of the Hungarian-Romanian border region, and knowledge about cycling.</w:t>
            </w:r>
          </w:p>
        </w:tc>
      </w:tr>
      <w:tr w:rsidR="00EC1F34" w:rsidRPr="00C7580E" w14:paraId="29D0ADAA" w14:textId="77777777" w:rsidTr="00EC1F34">
        <w:trPr>
          <w:trHeight w:val="7078"/>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989D4" w14:textId="4274A36F" w:rsidR="0029748A" w:rsidRPr="00EC1F34" w:rsidRDefault="0029748A" w:rsidP="0029748A">
            <w:pPr>
              <w:suppressAutoHyphens/>
              <w:autoSpaceDN w:val="0"/>
              <w:spacing w:line="249" w:lineRule="auto"/>
              <w:jc w:val="center"/>
              <w:textAlignment w:val="baseline"/>
              <w:rPr>
                <w:rFonts w:eastAsia="Calibri" w:cs="Calibri"/>
                <w:b/>
                <w:color w:val="auto"/>
                <w:sz w:val="22"/>
                <w:lang w:val="en-GB" w:eastAsia="en-GB"/>
              </w:rPr>
            </w:pPr>
            <w:r w:rsidRPr="00EC1F34">
              <w:rPr>
                <w:rFonts w:eastAsia="Calibri" w:cs="Calibri"/>
                <w:b/>
                <w:color w:val="auto"/>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EF5C5"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The main outputs of the project:</w:t>
            </w:r>
          </w:p>
          <w:p w14:paraId="3BC740F0" w14:textId="2BE6C80D"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w:t>
            </w:r>
            <w:r>
              <w:rPr>
                <w:rFonts w:eastAsia="Calibri" w:cs="Times New Roman"/>
                <w:color w:val="1F3864" w:themeColor="accent5" w:themeShade="80"/>
                <w:szCs w:val="20"/>
                <w:lang w:val="en-GB"/>
              </w:rPr>
              <w:t xml:space="preserve"> </w:t>
            </w:r>
            <w:r w:rsidR="00E20C5B">
              <w:rPr>
                <w:rFonts w:eastAsia="Calibri" w:cs="Times New Roman"/>
                <w:color w:val="1F3864" w:themeColor="accent5" w:themeShade="80"/>
                <w:szCs w:val="20"/>
                <w:lang w:val="en-GB"/>
              </w:rPr>
              <w:t>C</w:t>
            </w:r>
            <w:r w:rsidRPr="003167D3">
              <w:rPr>
                <w:rFonts w:eastAsia="Calibri" w:cs="Times New Roman"/>
                <w:color w:val="1F3864" w:themeColor="accent5" w:themeShade="80"/>
                <w:szCs w:val="20"/>
                <w:lang w:val="en-GB"/>
              </w:rPr>
              <w:t>reation of a database that will include</w:t>
            </w:r>
            <w:r>
              <w:rPr>
                <w:rFonts w:eastAsia="Calibri" w:cs="Times New Roman"/>
                <w:color w:val="1F3864" w:themeColor="accent5" w:themeShade="80"/>
                <w:szCs w:val="20"/>
                <w:lang w:val="en-GB"/>
              </w:rPr>
              <w:t>:</w:t>
            </w:r>
            <w:r w:rsidRPr="003167D3">
              <w:rPr>
                <w:rFonts w:eastAsia="Calibri" w:cs="Times New Roman"/>
                <w:color w:val="1F3864" w:themeColor="accent5" w:themeShade="80"/>
                <w:szCs w:val="20"/>
                <w:lang w:val="en-GB"/>
              </w:rPr>
              <w:t xml:space="preserve"> safe routes for cycling in the border region, recommendation for resting places, list of cycle tourism related service providers that are willing to collaborate in the project, as well as a list of tourist attractions along the route etc.</w:t>
            </w:r>
          </w:p>
          <w:p w14:paraId="6612FDC5" w14:textId="229F8C79"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Fully equipped bike rental center</w:t>
            </w:r>
            <w:r w:rsidR="00E20C5B">
              <w:rPr>
                <w:rFonts w:eastAsia="Calibri" w:cs="Times New Roman"/>
                <w:color w:val="1F3864" w:themeColor="accent5" w:themeShade="80"/>
                <w:szCs w:val="20"/>
                <w:lang w:val="en-GB"/>
              </w:rPr>
              <w:t>:</w:t>
            </w:r>
            <w:r w:rsidR="00E20C5B">
              <w:t xml:space="preserve"> </w:t>
            </w:r>
            <w:r w:rsidR="00E20C5B">
              <w:rPr>
                <w:rFonts w:eastAsia="Calibri" w:cs="Times New Roman"/>
                <w:color w:val="1F3864" w:themeColor="accent5" w:themeShade="80"/>
                <w:szCs w:val="20"/>
                <w:lang w:val="en-GB"/>
              </w:rPr>
              <w:t>t</w:t>
            </w:r>
            <w:r w:rsidR="00E20C5B" w:rsidRPr="00E20C5B">
              <w:rPr>
                <w:rFonts w:eastAsia="Calibri" w:cs="Times New Roman"/>
                <w:color w:val="1F3864" w:themeColor="accent5" w:themeShade="80"/>
                <w:szCs w:val="20"/>
                <w:lang w:val="en-GB"/>
              </w:rPr>
              <w:t>he creation of a bike rental centre in the commune of Fârdea, at the foot of the Poiana Ruscă mountains, will help to establish the area as a cycling destination.</w:t>
            </w:r>
          </w:p>
          <w:p w14:paraId="019E4C75" w14:textId="5C4BAA1D"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Euroregional training centre and camp for MTB cyclists</w:t>
            </w:r>
            <w:r w:rsidR="00E20C5B">
              <w:rPr>
                <w:rFonts w:eastAsia="Calibri" w:cs="Times New Roman"/>
                <w:color w:val="1F3864" w:themeColor="accent5" w:themeShade="80"/>
                <w:szCs w:val="20"/>
                <w:lang w:val="en-GB"/>
              </w:rPr>
              <w:t>: t</w:t>
            </w:r>
            <w:r w:rsidR="00E20C5B" w:rsidRPr="00E20C5B">
              <w:rPr>
                <w:rFonts w:eastAsia="Calibri" w:cs="Times New Roman"/>
                <w:color w:val="1F3864" w:themeColor="accent5" w:themeShade="80"/>
                <w:szCs w:val="20"/>
                <w:lang w:val="en-GB"/>
              </w:rPr>
              <w:t>he construction and equipping of a training centre and camp for the training of cycling associations in Timis, Arad and Csongrád-Csanád will function as a centre for the promotion of cycling in the DKMT Euroregion, including for children with disabilities (e.g. hearing disabilities).</w:t>
            </w:r>
          </w:p>
          <w:p w14:paraId="30E7C879"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Bicycle riding guide for children</w:t>
            </w:r>
          </w:p>
          <w:p w14:paraId="470284A1"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- 3 sessions of training for service providers</w:t>
            </w:r>
          </w:p>
          <w:p w14:paraId="46A6DC15"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- 5-day bicycle riding camp for children with disabilities</w:t>
            </w:r>
          </w:p>
          <w:p w14:paraId="0A55EDA5"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- 22 mountain bikes</w:t>
            </w:r>
          </w:p>
          <w:p w14:paraId="1D8A8884"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- 5 case studies from European CB regions where CB thematic bicycle routes can be found</w:t>
            </w:r>
          </w:p>
          <w:p w14:paraId="66A404EB"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creation of 5 thematic CB cycling tourist routes</w:t>
            </w:r>
          </w:p>
          <w:p w14:paraId="3D5DAAD3"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ROHU CB board game about the highlights of the CB region and cycling</w:t>
            </w:r>
          </w:p>
          <w:p w14:paraId="4D6F395E" w14:textId="782DC8B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xml:space="preserve">- ROHU CB </w:t>
            </w:r>
            <w:r w:rsidR="00E20C5B">
              <w:rPr>
                <w:rFonts w:eastAsia="Calibri" w:cs="Times New Roman"/>
                <w:color w:val="1F3864" w:themeColor="accent5" w:themeShade="80"/>
                <w:szCs w:val="20"/>
                <w:lang w:val="en-GB"/>
              </w:rPr>
              <w:t>e</w:t>
            </w:r>
            <w:r w:rsidR="00E20C5B" w:rsidRPr="00E20C5B">
              <w:rPr>
                <w:rFonts w:eastAsia="Calibri" w:cs="Times New Roman"/>
                <w:color w:val="1F3864" w:themeColor="accent5" w:themeShade="80"/>
                <w:szCs w:val="20"/>
                <w:lang w:val="en-GB"/>
              </w:rPr>
              <w:t>scape room on cycling and cross-border cooperation/tourism topics</w:t>
            </w:r>
          </w:p>
          <w:p w14:paraId="3EF8A763" w14:textId="77777777"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CB promotional activity with famous star(s), children and mass media</w:t>
            </w:r>
          </w:p>
          <w:p w14:paraId="643A4B71" w14:textId="60A732A8" w:rsidR="003167D3" w:rsidRPr="003167D3" w:rsidRDefault="003167D3" w:rsidP="003167D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xml:space="preserve">- </w:t>
            </w:r>
            <w:r w:rsidR="007E2596">
              <w:rPr>
                <w:rFonts w:eastAsia="Calibri" w:cs="Times New Roman"/>
                <w:color w:val="1F3864" w:themeColor="accent5" w:themeShade="80"/>
                <w:szCs w:val="20"/>
                <w:lang w:val="en-GB"/>
              </w:rPr>
              <w:t>I</w:t>
            </w:r>
            <w:r w:rsidRPr="003167D3">
              <w:rPr>
                <w:rFonts w:eastAsia="Calibri" w:cs="Times New Roman"/>
                <w:color w:val="1F3864" w:themeColor="accent5" w:themeShade="80"/>
                <w:szCs w:val="20"/>
                <w:lang w:val="en-GB"/>
              </w:rPr>
              <w:t>nformation boards and wayfinding panels</w:t>
            </w:r>
          </w:p>
          <w:p w14:paraId="0A465025" w14:textId="77777777" w:rsidR="00C7580E" w:rsidRDefault="003167D3" w:rsidP="00C7580E">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167D3">
              <w:rPr>
                <w:rFonts w:eastAsia="Calibri" w:cs="Times New Roman"/>
                <w:color w:val="1F3864" w:themeColor="accent5" w:themeShade="80"/>
                <w:szCs w:val="20"/>
                <w:lang w:val="en-GB"/>
              </w:rPr>
              <w:t xml:space="preserve">- </w:t>
            </w:r>
            <w:r w:rsidR="007E2596">
              <w:rPr>
                <w:rFonts w:eastAsia="Calibri" w:cs="Times New Roman"/>
                <w:color w:val="1F3864" w:themeColor="accent5" w:themeShade="80"/>
                <w:szCs w:val="20"/>
                <w:lang w:val="en-GB"/>
              </w:rPr>
              <w:t>P</w:t>
            </w:r>
            <w:r w:rsidRPr="003167D3">
              <w:rPr>
                <w:rFonts w:eastAsia="Calibri" w:cs="Times New Roman"/>
                <w:color w:val="1F3864" w:themeColor="accent5" w:themeShade="80"/>
                <w:szCs w:val="20"/>
                <w:lang w:val="en-GB"/>
              </w:rPr>
              <w:t>romotion materials (prints, web content, short video etc.)</w:t>
            </w:r>
          </w:p>
          <w:p w14:paraId="68D13567" w14:textId="46FD1F07" w:rsidR="00C7580E" w:rsidRDefault="00C7580E" w:rsidP="00C7580E">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Results that are aimed to be achieved </w:t>
            </w:r>
            <w:r>
              <w:rPr>
                <w:rFonts w:eastAsia="Calibri" w:cs="Times New Roman"/>
                <w:color w:val="1F3864" w:themeColor="accent5" w:themeShade="80"/>
                <w:szCs w:val="20"/>
                <w:lang w:val="en-GB"/>
              </w:rPr>
              <w:t>a</w:t>
            </w:r>
            <w:r w:rsidRPr="00C7580E">
              <w:rPr>
                <w:rFonts w:eastAsia="Calibri" w:cs="Times New Roman"/>
                <w:color w:val="1F3864" w:themeColor="accent5" w:themeShade="80"/>
                <w:szCs w:val="20"/>
                <w:lang w:val="en-GB"/>
              </w:rPr>
              <w:t>fter project implementatio</w:t>
            </w:r>
            <w:r>
              <w:rPr>
                <w:rFonts w:eastAsia="Calibri" w:cs="Times New Roman"/>
                <w:color w:val="1F3864" w:themeColor="accent5" w:themeShade="80"/>
                <w:szCs w:val="20"/>
                <w:lang w:val="en-GB"/>
              </w:rPr>
              <w:t>n</w:t>
            </w:r>
            <w:r>
              <w:rPr>
                <w:rFonts w:eastAsia="Calibri" w:cs="Times New Roman"/>
                <w:color w:val="1F3864" w:themeColor="accent5" w:themeShade="80"/>
                <w:szCs w:val="20"/>
                <w:lang w:val="en-GB"/>
              </w:rPr>
              <w:t>:</w:t>
            </w:r>
          </w:p>
          <w:p w14:paraId="0501AD44" w14:textId="4433D057" w:rsidR="00C7580E" w:rsidRDefault="00C7580E" w:rsidP="00C7580E">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1. </w:t>
            </w:r>
            <w:r w:rsidRPr="00C7580E">
              <w:rPr>
                <w:rFonts w:eastAsia="Calibri" w:cs="Times New Roman"/>
                <w:color w:val="1F3864" w:themeColor="accent5" w:themeShade="80"/>
                <w:szCs w:val="20"/>
                <w:lang w:val="en-GB"/>
              </w:rPr>
              <w:t>The project partners estimate an influx of 1,000 visitors to the project's facilities, which include the bike rental centre, the Euroregional training centre and camp, and the escape room. The newly identified cycling routes will also attract additional tourists to the area</w:t>
            </w:r>
            <w:r>
              <w:rPr>
                <w:rFonts w:eastAsia="Calibri" w:cs="Times New Roman"/>
                <w:color w:val="1F3864" w:themeColor="accent5" w:themeShade="80"/>
                <w:szCs w:val="20"/>
                <w:lang w:val="en-GB"/>
              </w:rPr>
              <w:t xml:space="preserve"> </w:t>
            </w:r>
            <w:r>
              <w:rPr>
                <w:rFonts w:eastAsia="Calibri" w:cs="Times New Roman"/>
                <w:color w:val="1F3864" w:themeColor="accent5" w:themeShade="80"/>
                <w:szCs w:val="20"/>
                <w:lang w:val="en-GB"/>
              </w:rPr>
              <w:t>a</w:t>
            </w:r>
            <w:r w:rsidRPr="00C7580E">
              <w:rPr>
                <w:rFonts w:eastAsia="Calibri" w:cs="Times New Roman"/>
                <w:color w:val="1F3864" w:themeColor="accent5" w:themeShade="80"/>
                <w:szCs w:val="20"/>
                <w:lang w:val="en-GB"/>
              </w:rPr>
              <w:t>fter project implementatio</w:t>
            </w:r>
            <w:r>
              <w:rPr>
                <w:rFonts w:eastAsia="Calibri" w:cs="Times New Roman"/>
                <w:color w:val="1F3864" w:themeColor="accent5" w:themeShade="80"/>
                <w:szCs w:val="20"/>
                <w:lang w:val="en-GB"/>
              </w:rPr>
              <w:t>n</w:t>
            </w:r>
            <w:r>
              <w:rPr>
                <w:rFonts w:eastAsia="Calibri" w:cs="Times New Roman"/>
                <w:color w:val="1F3864" w:themeColor="accent5" w:themeShade="80"/>
                <w:szCs w:val="20"/>
                <w:lang w:val="en-GB"/>
              </w:rPr>
              <w:t>.</w:t>
            </w:r>
          </w:p>
          <w:p w14:paraId="71C37AE2" w14:textId="40CC3D63" w:rsidR="00C7580E" w:rsidRDefault="00C7580E" w:rsidP="00C7580E">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2. </w:t>
            </w:r>
            <w:r w:rsidRPr="00C7580E">
              <w:rPr>
                <w:rFonts w:eastAsia="Calibri" w:cs="Times New Roman"/>
                <w:color w:val="1F3864" w:themeColor="accent5" w:themeShade="80"/>
                <w:szCs w:val="20"/>
                <w:lang w:val="en-GB"/>
              </w:rPr>
              <w:t xml:space="preserve">Project partnership will continue its institutional efforts in the same </w:t>
            </w:r>
            <w:r>
              <w:rPr>
                <w:rFonts w:eastAsia="Calibri" w:cs="Times New Roman"/>
                <w:color w:val="1F3864" w:themeColor="accent5" w:themeShade="80"/>
                <w:szCs w:val="20"/>
                <w:lang w:val="en-GB"/>
              </w:rPr>
              <w:t xml:space="preserve">4 Partners </w:t>
            </w:r>
            <w:r w:rsidRPr="00C7580E">
              <w:rPr>
                <w:rFonts w:eastAsia="Calibri" w:cs="Times New Roman"/>
                <w:color w:val="1F3864" w:themeColor="accent5" w:themeShade="80"/>
                <w:szCs w:val="20"/>
                <w:lang w:val="en-GB"/>
              </w:rPr>
              <w:t>formula</w:t>
            </w:r>
            <w:r>
              <w:t xml:space="preserve"> </w:t>
            </w:r>
            <w:r w:rsidRPr="00C7580E">
              <w:rPr>
                <w:rFonts w:eastAsia="Calibri" w:cs="Times New Roman"/>
                <w:color w:val="1F3864" w:themeColor="accent5" w:themeShade="80"/>
                <w:szCs w:val="20"/>
                <w:lang w:val="en-GB"/>
              </w:rPr>
              <w:t>after project implementation, by jointly capitalizing upon project outputs. As a result of the project, the partnership will try to implement of the good practices of thematic cycling tourism be adopted on the other parts of the project and border area which will expand the tourism potential of the region and further increase the number of visitors</w:t>
            </w:r>
            <w:r>
              <w:t xml:space="preserve"> </w:t>
            </w:r>
            <w:r w:rsidRPr="00C7580E">
              <w:rPr>
                <w:rFonts w:eastAsia="Calibri" w:cs="Times New Roman"/>
                <w:color w:val="1F3864" w:themeColor="accent5" w:themeShade="80"/>
                <w:szCs w:val="20"/>
                <w:lang w:val="en-GB"/>
              </w:rPr>
              <w:t>after project implementation</w:t>
            </w:r>
            <w:r>
              <w:rPr>
                <w:rFonts w:eastAsia="Calibri" w:cs="Times New Roman"/>
                <w:color w:val="1F3864" w:themeColor="accent5" w:themeShade="80"/>
                <w:szCs w:val="20"/>
                <w:lang w:val="en-GB"/>
              </w:rPr>
              <w:t>.</w:t>
            </w:r>
          </w:p>
          <w:p w14:paraId="2D421B69" w14:textId="77777777" w:rsidR="00C7580E" w:rsidRDefault="00C7580E" w:rsidP="00C7580E">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3. </w:t>
            </w:r>
            <w:r w:rsidRPr="00C7580E">
              <w:rPr>
                <w:rFonts w:eastAsia="Calibri" w:cs="Times New Roman"/>
                <w:color w:val="1F3864" w:themeColor="accent5" w:themeShade="80"/>
                <w:szCs w:val="20"/>
                <w:lang w:val="en-GB"/>
              </w:rPr>
              <w:t>It is estimated that project partners will integrate and use project outputs in order to organize at least 2 tourism and cycling events yearly</w:t>
            </w:r>
            <w:r>
              <w:rPr>
                <w:rFonts w:eastAsia="Calibri" w:cs="Times New Roman"/>
                <w:color w:val="1F3864" w:themeColor="accent5" w:themeShade="80"/>
                <w:szCs w:val="20"/>
                <w:lang w:val="en-GB"/>
              </w:rPr>
              <w:t xml:space="preserve"> with an estimate of </w:t>
            </w:r>
            <w:r w:rsidRPr="00C7580E">
              <w:rPr>
                <w:rFonts w:eastAsia="Calibri" w:cs="Times New Roman"/>
                <w:color w:val="1F3864" w:themeColor="accent5" w:themeShade="80"/>
                <w:szCs w:val="20"/>
                <w:lang w:val="en-GB"/>
              </w:rPr>
              <w:t>480,00</w:t>
            </w:r>
            <w:r>
              <w:rPr>
                <w:rFonts w:eastAsia="Calibri" w:cs="Times New Roman"/>
                <w:color w:val="1F3864" w:themeColor="accent5" w:themeShade="80"/>
                <w:szCs w:val="20"/>
                <w:lang w:val="en-GB"/>
              </w:rPr>
              <w:t xml:space="preserve"> participations a</w:t>
            </w:r>
            <w:r w:rsidRPr="00C7580E">
              <w:rPr>
                <w:rFonts w:eastAsia="Calibri" w:cs="Times New Roman"/>
                <w:color w:val="1F3864" w:themeColor="accent5" w:themeShade="80"/>
                <w:szCs w:val="20"/>
                <w:lang w:val="en-GB"/>
              </w:rPr>
              <w:t>fter project implementatio</w:t>
            </w:r>
            <w:r>
              <w:rPr>
                <w:rFonts w:eastAsia="Calibri" w:cs="Times New Roman"/>
                <w:color w:val="1F3864" w:themeColor="accent5" w:themeShade="80"/>
                <w:szCs w:val="20"/>
                <w:lang w:val="en-GB"/>
              </w:rPr>
              <w:t>n.</w:t>
            </w:r>
          </w:p>
          <w:p w14:paraId="0179697E" w14:textId="7EAA1D04" w:rsidR="00C7580E" w:rsidRPr="003565F7" w:rsidRDefault="00C7580E" w:rsidP="00C7580E">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4. </w:t>
            </w:r>
            <w:r w:rsidRPr="00C7580E">
              <w:rPr>
                <w:rFonts w:eastAsia="Calibri" w:cs="Times New Roman"/>
                <w:color w:val="1F3864" w:themeColor="accent5" w:themeShade="80"/>
                <w:szCs w:val="20"/>
                <w:lang w:val="en-GB"/>
              </w:rPr>
              <w:t>Partners will jointly identify resources and develop a common plan for the development of cycling trails across borders</w:t>
            </w:r>
            <w:r>
              <w:rPr>
                <w:rFonts w:eastAsia="Calibri" w:cs="Times New Roman"/>
                <w:color w:val="1F3864" w:themeColor="accent5" w:themeShade="80"/>
                <w:szCs w:val="20"/>
                <w:lang w:val="en-GB"/>
              </w:rPr>
              <w:t xml:space="preserve"> </w:t>
            </w:r>
            <w:r>
              <w:rPr>
                <w:rFonts w:eastAsia="Calibri" w:cs="Times New Roman"/>
                <w:color w:val="1F3864" w:themeColor="accent5" w:themeShade="80"/>
                <w:szCs w:val="20"/>
                <w:lang w:val="en-GB"/>
              </w:rPr>
              <w:t>a</w:t>
            </w:r>
            <w:r w:rsidRPr="00C7580E">
              <w:rPr>
                <w:rFonts w:eastAsia="Calibri" w:cs="Times New Roman"/>
                <w:color w:val="1F3864" w:themeColor="accent5" w:themeShade="80"/>
                <w:szCs w:val="20"/>
                <w:lang w:val="en-GB"/>
              </w:rPr>
              <w:t>fter project implementatio</w:t>
            </w:r>
            <w:r>
              <w:rPr>
                <w:rFonts w:eastAsia="Calibri" w:cs="Times New Roman"/>
                <w:color w:val="1F3864" w:themeColor="accent5" w:themeShade="80"/>
                <w:szCs w:val="20"/>
                <w:lang w:val="en-GB"/>
              </w:rPr>
              <w:t>n</w:t>
            </w:r>
            <w:r w:rsidRPr="00C7580E">
              <w:rPr>
                <w:rFonts w:eastAsia="Calibri" w:cs="Times New Roman"/>
                <w:color w:val="1F3864" w:themeColor="accent5" w:themeShade="80"/>
                <w:szCs w:val="20"/>
                <w:lang w:val="en-GB"/>
              </w:rPr>
              <w:t>.</w:t>
            </w:r>
          </w:p>
        </w:tc>
      </w:tr>
    </w:tbl>
    <w:p w14:paraId="4ED55538" w14:textId="1190B4AF" w:rsidR="00CE73FC" w:rsidRPr="005A58E8" w:rsidRDefault="00CE73FC" w:rsidP="000F0D69">
      <w:pPr>
        <w:jc w:val="both"/>
        <w:rPr>
          <w:rFonts w:cs="Open Sans"/>
          <w:bCs/>
          <w:color w:val="003399"/>
          <w:lang w:val="ro-RO"/>
        </w:rPr>
      </w:pPr>
    </w:p>
    <w:p w14:paraId="245F83DA" w14:textId="77777777" w:rsidR="000F0D69" w:rsidRDefault="000F0D69" w:rsidP="000F0D69">
      <w:pPr>
        <w:jc w:val="both"/>
        <w:rPr>
          <w:rFonts w:cs="Open Sans"/>
          <w:bCs/>
          <w:color w:val="003399"/>
          <w:lang w:val="ro-RO"/>
        </w:rPr>
      </w:pPr>
    </w:p>
    <w:p w14:paraId="4021AB2B" w14:textId="77777777" w:rsidR="00201F54" w:rsidRPr="005A58E8" w:rsidRDefault="00201F54" w:rsidP="000F0D69">
      <w:pPr>
        <w:jc w:val="both"/>
        <w:rPr>
          <w:rFonts w:cs="Open Sans"/>
          <w:bCs/>
          <w:color w:val="003399"/>
          <w:lang w:val="ro-RO"/>
        </w:rPr>
        <w:sectPr w:rsidR="00201F54" w:rsidRPr="005A58E8" w:rsidSect="00A170BA">
          <w:headerReference w:type="default" r:id="rId7"/>
          <w:footerReference w:type="default" r:id="rId8"/>
          <w:pgSz w:w="11906" w:h="16838" w:code="9"/>
          <w:pgMar w:top="1985" w:right="851" w:bottom="1134" w:left="851" w:header="567" w:footer="567" w:gutter="0"/>
          <w:cols w:space="720"/>
          <w:docGrid w:linePitch="360"/>
        </w:sectPr>
      </w:pPr>
    </w:p>
    <w:p w14:paraId="7F520ACC" w14:textId="77777777" w:rsidR="0054292D" w:rsidRPr="005A58E8" w:rsidRDefault="000F0D69" w:rsidP="00A170BA">
      <w:pPr>
        <w:spacing w:after="0"/>
        <w:jc w:val="both"/>
        <w:rPr>
          <w:rFonts w:cs="Open Sans"/>
          <w:color w:val="003399"/>
          <w:lang w:val="ro-RO"/>
        </w:rPr>
      </w:pPr>
      <w:r w:rsidRPr="005A58E8">
        <w:rPr>
          <w:rFonts w:cs="Open Sans"/>
          <w:bCs/>
          <w:color w:val="003399"/>
          <w:lang w:val="ro-RO"/>
        </w:rPr>
        <w:lastRenderedPageBreak/>
        <w:t>The content of this material does not necessarily represent the official position of the European Union. (to be used by project beneficiaries, when the case.)</w:t>
      </w:r>
    </w:p>
    <w:sectPr w:rsidR="0054292D" w:rsidRPr="005A58E8"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0A5E" w14:textId="77777777" w:rsidR="00991BDE" w:rsidRDefault="00991BDE" w:rsidP="00C23211">
      <w:pPr>
        <w:spacing w:after="0" w:line="240" w:lineRule="auto"/>
      </w:pPr>
      <w:r>
        <w:separator/>
      </w:r>
    </w:p>
  </w:endnote>
  <w:endnote w:type="continuationSeparator" w:id="0">
    <w:p w14:paraId="15298FF5" w14:textId="77777777" w:rsidR="00991BDE" w:rsidRDefault="00991BDE"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F517" w14:textId="77777777" w:rsidR="00E91B08" w:rsidRPr="005A58E8" w:rsidRDefault="00A170BA" w:rsidP="00CA0AA2">
    <w:pPr>
      <w:pStyle w:val="Subsol"/>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DB07" w14:textId="77777777" w:rsidR="00991BDE" w:rsidRDefault="00991BDE" w:rsidP="00C23211">
      <w:pPr>
        <w:spacing w:after="0" w:line="240" w:lineRule="auto"/>
      </w:pPr>
      <w:r>
        <w:separator/>
      </w:r>
    </w:p>
  </w:footnote>
  <w:footnote w:type="continuationSeparator" w:id="0">
    <w:p w14:paraId="6CB49FD0" w14:textId="77777777" w:rsidR="00991BDE" w:rsidRDefault="00991BDE"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DE6C" w14:textId="77777777" w:rsidR="00E91B08" w:rsidRDefault="00A170BA">
    <w:pPr>
      <w:pStyle w:val="Antet"/>
    </w:pPr>
    <w:r>
      <w:rPr>
        <w:noProof/>
      </w:rPr>
      <w:drawing>
        <wp:inline distT="0" distB="0" distL="0" distR="0" wp14:anchorId="166DF473" wp14:editId="13479F18">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78F3"/>
    <w:multiLevelType w:val="hybridMultilevel"/>
    <w:tmpl w:val="905E03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F3BAE"/>
    <w:multiLevelType w:val="hybridMultilevel"/>
    <w:tmpl w:val="A426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90CF1"/>
    <w:multiLevelType w:val="hybridMultilevel"/>
    <w:tmpl w:val="DF685C68"/>
    <w:lvl w:ilvl="0" w:tplc="A30EBD2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74353596">
    <w:abstractNumId w:val="1"/>
  </w:num>
  <w:num w:numId="2" w16cid:durableId="767434875">
    <w:abstractNumId w:val="4"/>
  </w:num>
  <w:num w:numId="3" w16cid:durableId="924876270">
    <w:abstractNumId w:val="3"/>
  </w:num>
  <w:num w:numId="4" w16cid:durableId="993602744">
    <w:abstractNumId w:val="2"/>
  </w:num>
  <w:num w:numId="5" w16cid:durableId="56421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W1sDQwMjOyMDM1N7ZQ0lEKTi0uzszPAykwqgUA65Ux0SwAAAA="/>
  </w:docVars>
  <w:rsids>
    <w:rsidRoot w:val="003E59C3"/>
    <w:rsid w:val="00032EA7"/>
    <w:rsid w:val="000732B4"/>
    <w:rsid w:val="00080E5B"/>
    <w:rsid w:val="00086438"/>
    <w:rsid w:val="000E7AAB"/>
    <w:rsid w:val="000F0D69"/>
    <w:rsid w:val="001128B4"/>
    <w:rsid w:val="00150E78"/>
    <w:rsid w:val="001617DD"/>
    <w:rsid w:val="00190E0A"/>
    <w:rsid w:val="00201F54"/>
    <w:rsid w:val="00222BCD"/>
    <w:rsid w:val="002423C2"/>
    <w:rsid w:val="002424F8"/>
    <w:rsid w:val="00242594"/>
    <w:rsid w:val="002601E5"/>
    <w:rsid w:val="002642B0"/>
    <w:rsid w:val="0029315D"/>
    <w:rsid w:val="002943AF"/>
    <w:rsid w:val="0029748A"/>
    <w:rsid w:val="002A5B39"/>
    <w:rsid w:val="002C5847"/>
    <w:rsid w:val="002E3122"/>
    <w:rsid w:val="00314AAD"/>
    <w:rsid w:val="003167D3"/>
    <w:rsid w:val="003565F7"/>
    <w:rsid w:val="0038289E"/>
    <w:rsid w:val="00382F25"/>
    <w:rsid w:val="00383B9E"/>
    <w:rsid w:val="00384F4B"/>
    <w:rsid w:val="003948C0"/>
    <w:rsid w:val="003A4193"/>
    <w:rsid w:val="003B1FDD"/>
    <w:rsid w:val="003B6733"/>
    <w:rsid w:val="003D1E4E"/>
    <w:rsid w:val="003E59C3"/>
    <w:rsid w:val="00411C02"/>
    <w:rsid w:val="0041727C"/>
    <w:rsid w:val="004315AB"/>
    <w:rsid w:val="0045776F"/>
    <w:rsid w:val="00466455"/>
    <w:rsid w:val="004A3DA2"/>
    <w:rsid w:val="004A693B"/>
    <w:rsid w:val="004E0EC9"/>
    <w:rsid w:val="004E45C4"/>
    <w:rsid w:val="00530A15"/>
    <w:rsid w:val="00531EC9"/>
    <w:rsid w:val="0054292D"/>
    <w:rsid w:val="005630A8"/>
    <w:rsid w:val="00566FD9"/>
    <w:rsid w:val="005A51BC"/>
    <w:rsid w:val="005A58E8"/>
    <w:rsid w:val="005F7603"/>
    <w:rsid w:val="00601527"/>
    <w:rsid w:val="0061300E"/>
    <w:rsid w:val="00614C99"/>
    <w:rsid w:val="0062749C"/>
    <w:rsid w:val="00635444"/>
    <w:rsid w:val="00651840"/>
    <w:rsid w:val="00664DAE"/>
    <w:rsid w:val="006B30F3"/>
    <w:rsid w:val="006D547C"/>
    <w:rsid w:val="00704723"/>
    <w:rsid w:val="00714286"/>
    <w:rsid w:val="00730F94"/>
    <w:rsid w:val="00732D28"/>
    <w:rsid w:val="00751BA1"/>
    <w:rsid w:val="00761E91"/>
    <w:rsid w:val="007633C2"/>
    <w:rsid w:val="007843DE"/>
    <w:rsid w:val="007B60A7"/>
    <w:rsid w:val="007B6BE6"/>
    <w:rsid w:val="007E11B1"/>
    <w:rsid w:val="007E2596"/>
    <w:rsid w:val="007E389A"/>
    <w:rsid w:val="008175ED"/>
    <w:rsid w:val="008449B7"/>
    <w:rsid w:val="008A2E8D"/>
    <w:rsid w:val="008B2AE7"/>
    <w:rsid w:val="008E24AC"/>
    <w:rsid w:val="008F14BC"/>
    <w:rsid w:val="009032CD"/>
    <w:rsid w:val="00912540"/>
    <w:rsid w:val="00932B71"/>
    <w:rsid w:val="00934B4B"/>
    <w:rsid w:val="00940E09"/>
    <w:rsid w:val="00946A88"/>
    <w:rsid w:val="0097126B"/>
    <w:rsid w:val="009747FC"/>
    <w:rsid w:val="00991BDE"/>
    <w:rsid w:val="009C2CBF"/>
    <w:rsid w:val="009C3819"/>
    <w:rsid w:val="009D0623"/>
    <w:rsid w:val="009E7AAF"/>
    <w:rsid w:val="00A07D67"/>
    <w:rsid w:val="00A170BA"/>
    <w:rsid w:val="00A327EF"/>
    <w:rsid w:val="00A35463"/>
    <w:rsid w:val="00A64984"/>
    <w:rsid w:val="00A738A6"/>
    <w:rsid w:val="00A92499"/>
    <w:rsid w:val="00AA2467"/>
    <w:rsid w:val="00AA64ED"/>
    <w:rsid w:val="00AB10C4"/>
    <w:rsid w:val="00AF5D9D"/>
    <w:rsid w:val="00B06F30"/>
    <w:rsid w:val="00B136E6"/>
    <w:rsid w:val="00B35DC9"/>
    <w:rsid w:val="00B722F0"/>
    <w:rsid w:val="00B77B00"/>
    <w:rsid w:val="00B92ED0"/>
    <w:rsid w:val="00BD3E2D"/>
    <w:rsid w:val="00BF3074"/>
    <w:rsid w:val="00BF69E9"/>
    <w:rsid w:val="00C10744"/>
    <w:rsid w:val="00C23211"/>
    <w:rsid w:val="00C23EAD"/>
    <w:rsid w:val="00C43C2A"/>
    <w:rsid w:val="00C4437A"/>
    <w:rsid w:val="00C7580E"/>
    <w:rsid w:val="00C96EC6"/>
    <w:rsid w:val="00CA0AA2"/>
    <w:rsid w:val="00CE1891"/>
    <w:rsid w:val="00CE22CF"/>
    <w:rsid w:val="00CE73FC"/>
    <w:rsid w:val="00D14157"/>
    <w:rsid w:val="00D1768D"/>
    <w:rsid w:val="00D34D55"/>
    <w:rsid w:val="00D60CEA"/>
    <w:rsid w:val="00D63A49"/>
    <w:rsid w:val="00D736AC"/>
    <w:rsid w:val="00D92E82"/>
    <w:rsid w:val="00DA17BE"/>
    <w:rsid w:val="00DE4738"/>
    <w:rsid w:val="00E20C5B"/>
    <w:rsid w:val="00E267A5"/>
    <w:rsid w:val="00E61F8E"/>
    <w:rsid w:val="00E91B08"/>
    <w:rsid w:val="00EB0D64"/>
    <w:rsid w:val="00EB18A7"/>
    <w:rsid w:val="00EC1F34"/>
    <w:rsid w:val="00EE4CDA"/>
    <w:rsid w:val="00F0230A"/>
    <w:rsid w:val="00F10186"/>
    <w:rsid w:val="00F75E66"/>
    <w:rsid w:val="00F7622A"/>
    <w:rsid w:val="00F8236C"/>
    <w:rsid w:val="00FB1594"/>
    <w:rsid w:val="00FB5250"/>
    <w:rsid w:val="00FC27BE"/>
    <w:rsid w:val="00FC4C37"/>
    <w:rsid w:val="00FD3FDD"/>
    <w:rsid w:val="00FD7BA8"/>
    <w:rsid w:val="00FE7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282A3"/>
  <w15:chartTrackingRefBased/>
  <w15:docId w15:val="{8A0A9F21-C0DF-49E4-81DD-446B75F8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AD"/>
    <w:rPr>
      <w:rFonts w:ascii="Open Sans" w:hAnsi="Open Sans"/>
      <w:color w:val="2F5496" w:themeColor="accent5" w:themeShade="BF"/>
      <w:sz w:val="20"/>
    </w:rPr>
  </w:style>
  <w:style w:type="paragraph" w:styleId="Titlu1">
    <w:name w:val="heading 1"/>
    <w:basedOn w:val="Normal"/>
    <w:next w:val="Normal"/>
    <w:link w:val="Titlu1Caracte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Titlu3">
    <w:name w:val="heading 3"/>
    <w:basedOn w:val="Normal"/>
    <w:next w:val="Normal"/>
    <w:link w:val="Titlu3Caracter"/>
    <w:uiPriority w:val="9"/>
    <w:semiHidden/>
    <w:unhideWhenUsed/>
    <w:qFormat/>
    <w:rsid w:val="00714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2321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23211"/>
  </w:style>
  <w:style w:type="paragraph" w:styleId="Subsol">
    <w:name w:val="footer"/>
    <w:basedOn w:val="Normal"/>
    <w:link w:val="SubsolCaracter"/>
    <w:uiPriority w:val="99"/>
    <w:unhideWhenUsed/>
    <w:rsid w:val="00C2321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3211"/>
  </w:style>
  <w:style w:type="character" w:customStyle="1" w:styleId="Titlu1Caracter">
    <w:name w:val="Titlu 1 Caracter"/>
    <w:basedOn w:val="Fontdeparagrafimplicit"/>
    <w:link w:val="Titlu1"/>
    <w:uiPriority w:val="9"/>
    <w:rsid w:val="00E91B08"/>
    <w:rPr>
      <w:rFonts w:ascii="Arial" w:eastAsiaTheme="majorEastAsia" w:hAnsi="Arial" w:cstheme="majorBidi"/>
      <w:b/>
      <w:color w:val="2E74B5" w:themeColor="accent1" w:themeShade="BF"/>
      <w:sz w:val="32"/>
      <w:szCs w:val="32"/>
    </w:rPr>
  </w:style>
  <w:style w:type="paragraph" w:styleId="Titlu">
    <w:name w:val="Title"/>
    <w:basedOn w:val="Normal"/>
    <w:next w:val="Normal"/>
    <w:link w:val="TitluCaracte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uCaracter">
    <w:name w:val="Titlu Caracter"/>
    <w:basedOn w:val="Fontdeparagrafimplicit"/>
    <w:link w:val="Titlu"/>
    <w:uiPriority w:val="10"/>
    <w:rsid w:val="00E91B08"/>
    <w:rPr>
      <w:rFonts w:ascii="Arial" w:eastAsiaTheme="majorEastAsia" w:hAnsi="Arial" w:cstheme="majorBidi"/>
      <w:spacing w:val="-10"/>
      <w:kern w:val="28"/>
      <w:sz w:val="56"/>
      <w:szCs w:val="56"/>
    </w:rPr>
  </w:style>
  <w:style w:type="paragraph" w:styleId="Subtitlu">
    <w:name w:val="Subtitle"/>
    <w:basedOn w:val="Normal"/>
    <w:next w:val="Normal"/>
    <w:link w:val="SubtitluCaracter"/>
    <w:uiPriority w:val="11"/>
    <w:qFormat/>
    <w:rsid w:val="00E91B08"/>
    <w:pPr>
      <w:numPr>
        <w:ilvl w:val="1"/>
      </w:numPr>
    </w:pPr>
    <w:rPr>
      <w:rFonts w:eastAsiaTheme="minorEastAsia"/>
      <w:color w:val="5A5A5A" w:themeColor="text1" w:themeTint="A5"/>
      <w:spacing w:val="15"/>
      <w:sz w:val="28"/>
    </w:rPr>
  </w:style>
  <w:style w:type="character" w:customStyle="1" w:styleId="SubtitluCaracter">
    <w:name w:val="Subtitlu Caracter"/>
    <w:basedOn w:val="Fontdeparagrafimplicit"/>
    <w:link w:val="Subtitlu"/>
    <w:uiPriority w:val="11"/>
    <w:rsid w:val="00E91B08"/>
    <w:rPr>
      <w:rFonts w:ascii="Arial" w:eastAsiaTheme="minorEastAsia" w:hAnsi="Arial"/>
      <w:color w:val="5A5A5A" w:themeColor="text1" w:themeTint="A5"/>
      <w:spacing w:val="15"/>
      <w:sz w:val="28"/>
    </w:rPr>
  </w:style>
  <w:style w:type="character" w:styleId="Accentuareintens">
    <w:name w:val="Intense Emphasis"/>
    <w:basedOn w:val="Fontdeparagrafimplicit"/>
    <w:uiPriority w:val="21"/>
    <w:qFormat/>
    <w:rsid w:val="00E91B08"/>
    <w:rPr>
      <w:rFonts w:ascii="Arial" w:hAnsi="Arial"/>
      <w:i/>
      <w:iCs/>
      <w:color w:val="5B9BD5" w:themeColor="accent1"/>
    </w:rPr>
  </w:style>
  <w:style w:type="character" w:styleId="Accentuaresubtil">
    <w:name w:val="Subtle Emphasis"/>
    <w:basedOn w:val="Fontdeparagrafimplicit"/>
    <w:uiPriority w:val="19"/>
    <w:qFormat/>
    <w:rsid w:val="00E91B08"/>
    <w:rPr>
      <w:rFonts w:ascii="Arial" w:hAnsi="Arial"/>
      <w:i/>
      <w:iCs/>
      <w:color w:val="404040" w:themeColor="text1" w:themeTint="BF"/>
    </w:rPr>
  </w:style>
  <w:style w:type="character" w:styleId="Accentuat">
    <w:name w:val="Emphasis"/>
    <w:basedOn w:val="Fontdeparagrafimplicit"/>
    <w:uiPriority w:val="20"/>
    <w:qFormat/>
    <w:rsid w:val="00E91B08"/>
    <w:rPr>
      <w:rFonts w:ascii="Arial" w:hAnsi="Arial"/>
      <w:i/>
      <w:iCs/>
    </w:rPr>
  </w:style>
  <w:style w:type="table" w:styleId="Tabelgril">
    <w:name w:val="Table Grid"/>
    <w:basedOn w:val="Tabel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7B6BE6"/>
    <w:pPr>
      <w:ind w:left="720"/>
      <w:contextualSpacing/>
    </w:pPr>
  </w:style>
  <w:style w:type="character" w:customStyle="1" w:styleId="Titlu3Caracter">
    <w:name w:val="Titlu 3 Caracter"/>
    <w:basedOn w:val="Fontdeparagrafimplicit"/>
    <w:link w:val="Titlu3"/>
    <w:uiPriority w:val="9"/>
    <w:semiHidden/>
    <w:rsid w:val="0071428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831990786">
      <w:bodyDiv w:val="1"/>
      <w:marLeft w:val="0"/>
      <w:marRight w:val="0"/>
      <w:marTop w:val="0"/>
      <w:marBottom w:val="0"/>
      <w:divBdr>
        <w:top w:val="none" w:sz="0" w:space="0" w:color="auto"/>
        <w:left w:val="none" w:sz="0" w:space="0" w:color="auto"/>
        <w:bottom w:val="none" w:sz="0" w:space="0" w:color="auto"/>
        <w:right w:val="none" w:sz="0" w:space="0" w:color="auto"/>
      </w:divBdr>
    </w:div>
    <w:div w:id="17304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__JS%20monitorizare\ROHU00470\fisa%20proiect%20ROHU004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fisa proiect ROHU00470</Template>
  <TotalTime>225</TotalTime>
  <Pages>3</Pages>
  <Words>803</Words>
  <Characters>4582</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sebastian.sturz</dc:creator>
  <cp:keywords/>
  <dc:description/>
  <cp:lastModifiedBy>Claudia T. Jurcuț - Todoran</cp:lastModifiedBy>
  <cp:revision>16</cp:revision>
  <dcterms:created xsi:type="dcterms:W3CDTF">2025-06-23T07:51:00Z</dcterms:created>
  <dcterms:modified xsi:type="dcterms:W3CDTF">2025-11-06T08:20:00Z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7197311b-a9ad-454b-b7e4-064f1a1e9e8a</vt:lpwstr>
  </property>
</Properties>
</file>